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5D27" w14:textId="77777777" w:rsidR="000C4D8E" w:rsidRPr="000C4D8E" w:rsidRDefault="000C4D8E" w:rsidP="000C4D8E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0C4D8E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Техничка спецификација</w:t>
      </w:r>
    </w:p>
    <w:p w14:paraId="732C80C6" w14:textId="77777777" w:rsidR="000C4D8E" w:rsidRPr="000C4D8E" w:rsidRDefault="000C4D8E" w:rsidP="000C4D8E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</w:p>
    <w:p w14:paraId="0D552EE8" w14:textId="6559D999" w:rsidR="000C4D8E" w:rsidRPr="000C4D8E" w:rsidRDefault="000C4D8E" w:rsidP="000C4D8E">
      <w:pPr>
        <w:spacing w:line="240" w:lineRule="auto"/>
        <w:jc w:val="center"/>
        <w:rPr>
          <w:rFonts w:asciiTheme="minorHAnsi" w:hAnsiTheme="minorHAnsi" w:cstheme="minorHAnsi"/>
          <w:b/>
          <w:bCs/>
          <w:strike/>
          <w:color w:val="auto"/>
          <w:sz w:val="22"/>
          <w:szCs w:val="22"/>
          <w:lang w:val="ru-RU"/>
        </w:rPr>
      </w:pPr>
      <w:r w:rsidRPr="000C4D8E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 xml:space="preserve">Услуге осигурања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имовине</w:t>
      </w:r>
      <w:r w:rsidRPr="000C4D8E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 xml:space="preserve"> Г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 xml:space="preserve">О </w:t>
      </w:r>
      <w:r w:rsidRPr="000C4D8E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Савски венац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, ЈН 2025/14</w:t>
      </w:r>
    </w:p>
    <w:p w14:paraId="47625E37" w14:textId="77777777" w:rsidR="006565BA" w:rsidRPr="000C4D8E" w:rsidRDefault="006565BA" w:rsidP="009E274F">
      <w:pPr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tbl>
      <w:tblPr>
        <w:tblW w:w="6820" w:type="dxa"/>
        <w:tblInd w:w="93" w:type="dxa"/>
        <w:tblLook w:val="04A0" w:firstRow="1" w:lastRow="0" w:firstColumn="1" w:lastColumn="0" w:noHBand="0" w:noVBand="1"/>
      </w:tblPr>
      <w:tblGrid>
        <w:gridCol w:w="840"/>
        <w:gridCol w:w="5980"/>
      </w:tblGrid>
      <w:tr w:rsidR="00CD61C6" w:rsidRPr="000C4D8E" w14:paraId="0310AEBB" w14:textId="77777777" w:rsidTr="00CD61C6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0EBDC"/>
            <w:vAlign w:val="center"/>
            <w:hideMark/>
          </w:tcPr>
          <w:p w14:paraId="23C53C7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Редни број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3F3F3" w:fill="F0EBDC"/>
            <w:vAlign w:val="center"/>
            <w:hideMark/>
          </w:tcPr>
          <w:p w14:paraId="60ADB54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Опис</w:t>
            </w:r>
          </w:p>
        </w:tc>
      </w:tr>
      <w:tr w:rsidR="00CD61C6" w:rsidRPr="000C4D8E" w14:paraId="13E7CB1C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D0E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082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ПОЖАР основни ризици за грађевинске </w:t>
            </w:r>
          </w:p>
        </w:tc>
      </w:tr>
      <w:tr w:rsidR="00CD61C6" w:rsidRPr="000C4D8E" w14:paraId="033DDB63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745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174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ПОЖАР основни ризици за опрему</w:t>
            </w:r>
          </w:p>
        </w:tc>
      </w:tr>
      <w:tr w:rsidR="00CD61C6" w:rsidRPr="000C4D8E" w14:paraId="3508877D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9F0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624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ПОЖАР допунски ризик за грађевинске објекте и опрему</w:t>
            </w:r>
          </w:p>
        </w:tc>
      </w:tr>
      <w:tr w:rsidR="00CD61C6" w:rsidRPr="000C4D8E" w14:paraId="445F4A33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A08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3A8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КОМБИНОВАНО ОСИГУРАЊЕ РАЧУНАРА</w:t>
            </w:r>
          </w:p>
        </w:tc>
      </w:tr>
      <w:tr w:rsidR="00CD61C6" w:rsidRPr="000C4D8E" w14:paraId="22119F06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C0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F52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ЛОМ МАШИНА</w:t>
            </w:r>
          </w:p>
        </w:tc>
      </w:tr>
      <w:tr w:rsidR="00CD61C6" w:rsidRPr="000C4D8E" w14:paraId="62490B74" w14:textId="77777777" w:rsidTr="00C151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1AE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20A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ПРОВАЛНА КРАЂА И РАЗБОЈНИШТВО</w:t>
            </w:r>
          </w:p>
        </w:tc>
      </w:tr>
      <w:tr w:rsidR="00CD61C6" w:rsidRPr="000C4D8E" w14:paraId="30A69F45" w14:textId="77777777" w:rsidTr="00C151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878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994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ЛОМ СТАКЛА</w:t>
            </w:r>
          </w:p>
        </w:tc>
      </w:tr>
      <w:tr w:rsidR="00C1513E" w:rsidRPr="000C4D8E" w14:paraId="28951E28" w14:textId="77777777" w:rsidTr="00C151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FD59" w14:textId="35D7AB2E" w:rsidR="00C1513E" w:rsidRPr="000C4D8E" w:rsidRDefault="00C1513E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F463" w14:textId="08DEB333" w:rsidR="00C1513E" w:rsidRPr="00C1513E" w:rsidRDefault="00C1513E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sr-Cyrl-RS" w:eastAsia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sr-Cyrl-RS" w:eastAsia="en-US"/>
              </w:rPr>
              <w:t>ДОПУНСКИ РИЗИК ИЗЛИВА ВОДЕ ИЗ ИНСТАЛАЦИЈА</w:t>
            </w:r>
          </w:p>
        </w:tc>
      </w:tr>
    </w:tbl>
    <w:p w14:paraId="0338DF01" w14:textId="77777777" w:rsidR="006565BA" w:rsidRPr="000C4D8E" w:rsidRDefault="006565BA" w:rsidP="006565BA">
      <w:pPr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14:paraId="37CFE109" w14:textId="77777777" w:rsidR="006565BA" w:rsidRPr="000C4D8E" w:rsidRDefault="006565BA" w:rsidP="006565BA">
      <w:pPr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  <w:r w:rsidRPr="000C4D8E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Осигуране суме :</w:t>
      </w:r>
      <w:r w:rsidR="009E274F" w:rsidRPr="000C4D8E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0C4D8E">
        <w:rPr>
          <w:rFonts w:asciiTheme="minorHAnsi" w:hAnsiTheme="minorHAnsi" w:cstheme="minorHAnsi"/>
          <w:color w:val="auto"/>
          <w:sz w:val="22"/>
          <w:szCs w:val="22"/>
          <w:lang w:val="ru-RU"/>
        </w:rPr>
        <w:t>Подаци</w:t>
      </w:r>
      <w:r w:rsidRPr="000C4D8E">
        <w:rPr>
          <w:rFonts w:asciiTheme="minorHAnsi" w:hAnsiTheme="minorHAnsi" w:cstheme="minorHAnsi"/>
          <w:sz w:val="22"/>
          <w:szCs w:val="22"/>
          <w:lang w:val="ru-RU"/>
        </w:rPr>
        <w:t xml:space="preserve"> за осигурање од ризика пожара и неких других опасности</w:t>
      </w:r>
    </w:p>
    <w:p w14:paraId="3CF8EE8A" w14:textId="77777777" w:rsidR="006565BA" w:rsidRPr="000C4D8E" w:rsidRDefault="006565BA" w:rsidP="006565B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840"/>
        <w:gridCol w:w="5980"/>
        <w:gridCol w:w="2340"/>
      </w:tblGrid>
      <w:tr w:rsidR="00CD61C6" w:rsidRPr="000C4D8E" w14:paraId="2AFE1D0F" w14:textId="77777777" w:rsidTr="00CD61C6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34E3ED90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Редни број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271D8774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ПРЕДМЕТ ОСИГУРАЊА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32E23453" w14:textId="77777777" w:rsidR="00CD61C6" w:rsidRPr="000C4D8E" w:rsidRDefault="00CD61C6" w:rsidP="00D13B21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Набавна вредност у пословним књигама са стањем 31.12.</w:t>
            </w:r>
            <w:r w:rsidR="004E6810"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2024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. године</w:t>
            </w:r>
          </w:p>
        </w:tc>
      </w:tr>
      <w:tr w:rsidR="00CD61C6" w:rsidRPr="000C4D8E" w14:paraId="331DCB8B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1AD982C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BB3B404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Грађевински објекти укупно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80DC3D0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235.032.054,44</w:t>
            </w:r>
          </w:p>
        </w:tc>
      </w:tr>
      <w:tr w:rsidR="00CD61C6" w:rsidRPr="000C4D8E" w14:paraId="746565C3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A31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359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Кнеза Милоша 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3FD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77.929.714,81</w:t>
            </w:r>
          </w:p>
        </w:tc>
      </w:tr>
      <w:tr w:rsidR="00CD61C6" w:rsidRPr="000C4D8E" w14:paraId="633B9A73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D66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BA0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Кнеза Милоша 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F19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11.334.361,81</w:t>
            </w:r>
          </w:p>
        </w:tc>
      </w:tr>
      <w:tr w:rsidR="00CD61C6" w:rsidRPr="000C4D8E" w14:paraId="33EDD9FB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E1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346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Кнеза Милоша 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521" w14:textId="77777777" w:rsidR="00CD61C6" w:rsidRPr="000C4D8E" w:rsidRDefault="003D7400" w:rsidP="004E6810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      145.767.977,82</w:t>
            </w:r>
          </w:p>
        </w:tc>
      </w:tr>
      <w:tr w:rsidR="00CD61C6" w:rsidRPr="000C4D8E" w14:paraId="21FEEBC2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479A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BB7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440A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CD61C6" w:rsidRPr="000C4D8E" w14:paraId="1CDF6970" w14:textId="77777777" w:rsidTr="00CD61C6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4BA726D3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Редни број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66895314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ПРЕДМЕТ ОСИГУРАЊА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3D450BB8" w14:textId="77777777" w:rsidR="00CD61C6" w:rsidRPr="000C4D8E" w:rsidRDefault="00CD61C6" w:rsidP="00D13B21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Набавна вредност у пословним књигама са стањем 31.12.2</w:t>
            </w:r>
            <w:r w:rsidR="004E6810"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024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. године</w:t>
            </w:r>
          </w:p>
        </w:tc>
      </w:tr>
      <w:tr w:rsidR="00CD61C6" w:rsidRPr="000C4D8E" w14:paraId="05956481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DCAE20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10E38E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ОПРЕМА УКУПНО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F6A7F0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59.146.901,73</w:t>
            </w:r>
          </w:p>
        </w:tc>
      </w:tr>
      <w:tr w:rsidR="00CD61C6" w:rsidRPr="000C4D8E" w14:paraId="5F5D37B2" w14:textId="77777777" w:rsidTr="00CD61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52D3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7B3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Канцеларијски намештај, клима уређаји и остала канцел. Опрема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C012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25.284.280,62</w:t>
            </w:r>
          </w:p>
        </w:tc>
      </w:tr>
      <w:tr w:rsidR="00CD61C6" w:rsidRPr="000C4D8E" w14:paraId="34727F0C" w14:textId="77777777" w:rsidTr="00CD61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A9B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837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Остала опрема , уређаји и апарати телефони, факс  и слично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0989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4.399.871,69</w:t>
            </w:r>
          </w:p>
        </w:tc>
      </w:tr>
      <w:tr w:rsidR="00CD61C6" w:rsidRPr="000C4D8E" w14:paraId="28BAE53B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4A1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317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Фотоапарати и остала ел. опрема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196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6.617.831,20</w:t>
            </w:r>
          </w:p>
        </w:tc>
      </w:tr>
      <w:tr w:rsidR="00CD61C6" w:rsidRPr="000C4D8E" w14:paraId="375B3748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4D4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BEC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Угоститељска опрема и уређаји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54CF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918.320,48</w:t>
            </w:r>
          </w:p>
        </w:tc>
      </w:tr>
      <w:tr w:rsidR="00CD61C6" w:rsidRPr="000C4D8E" w14:paraId="0C8EDCCE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93D5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895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Пољопривредна опрема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CAD" w14:textId="77777777" w:rsidR="00CD61C6" w:rsidRPr="000C4D8E" w:rsidRDefault="00E3386A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                                   </w:t>
            </w:r>
            <w:r w:rsidR="003D7400"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CD61C6" w:rsidRPr="000C4D8E" w14:paraId="0484B347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A2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04C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Књижевна и уметничка дела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469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19.896.659,10</w:t>
            </w:r>
          </w:p>
        </w:tc>
      </w:tr>
      <w:tr w:rsidR="00CD61C6" w:rsidRPr="000C4D8E" w14:paraId="4472AB22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A2E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5A2C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Спортска опрема и информативни планови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46BE" w14:textId="77777777" w:rsidR="00CD61C6" w:rsidRPr="000C4D8E" w:rsidRDefault="00E3386A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                                    </w:t>
            </w:r>
            <w:r w:rsidR="003D7400"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CD61C6" w:rsidRPr="000C4D8E" w14:paraId="6D8B94FC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575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F1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Опрема за јавну безбедност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CD30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1.966.863,40</w:t>
            </w:r>
          </w:p>
        </w:tc>
      </w:tr>
      <w:tr w:rsidR="00CD61C6" w:rsidRPr="000C4D8E" w14:paraId="3A35E2D7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CA1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114F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Алати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0613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63.075,24</w:t>
            </w:r>
          </w:p>
        </w:tc>
      </w:tr>
      <w:tr w:rsidR="00CD61C6" w:rsidRPr="000C4D8E" w14:paraId="5414CA25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2713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DCFE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D4FE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CD61C6" w:rsidRPr="000C4D8E" w14:paraId="4DC48E41" w14:textId="77777777" w:rsidTr="00CD61C6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3C9BDE4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Редни број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42AB5F20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ПРЕДМЕТ ОСИГУРАЊА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436D28D7" w14:textId="77777777" w:rsidR="00CD61C6" w:rsidRPr="000C4D8E" w:rsidRDefault="00CD61C6" w:rsidP="00D13B21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Набавна вредност у пословним књигама са стањем 31.12.</w:t>
            </w:r>
            <w:r w:rsidR="004E6810"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2024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. године</w:t>
            </w:r>
          </w:p>
        </w:tc>
      </w:tr>
      <w:tr w:rsidR="00CD61C6" w:rsidRPr="000C4D8E" w14:paraId="15031DB5" w14:textId="77777777" w:rsidTr="00CD61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923EC4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7E8EF0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ДОПУНСКИ РИЗИК ИЗЛИВА ВОДЕ ИЗ ИНСТАЛАЦИЈА НА СУМУ „I ризика“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B3E6DB2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29.417.895,62</w:t>
            </w:r>
          </w:p>
        </w:tc>
      </w:tr>
      <w:tr w:rsidR="00CD61C6" w:rsidRPr="000C4D8E" w14:paraId="3319BD29" w14:textId="77777777" w:rsidTr="00CD61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CA4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8C8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За грађевинске објекте (10%  укупне вредности грађ- објеката)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C40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23.503</w:t>
            </w:r>
            <w:r w:rsidR="00E3386A"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.205</w:t>
            </w: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,45</w:t>
            </w:r>
          </w:p>
        </w:tc>
      </w:tr>
      <w:tr w:rsidR="00CD61C6" w:rsidRPr="000C4D8E" w14:paraId="11BCC147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5AC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822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en-US"/>
              </w:rPr>
              <w:t>За опрему (10% укупне вредности опреме)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5BE8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5.914.690,17</w:t>
            </w:r>
          </w:p>
        </w:tc>
      </w:tr>
      <w:tr w:rsidR="00CD61C6" w:rsidRPr="000C4D8E" w14:paraId="17676C45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8D26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A1CE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BC0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CD61C6" w:rsidRPr="000C4D8E" w14:paraId="52300447" w14:textId="77777777" w:rsidTr="00CD61C6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75B14C8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Редни број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2DD209D3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ПРЕДМЕТ ОСИГУРАЊА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6DCFA669" w14:textId="77777777" w:rsidR="00CD61C6" w:rsidRPr="000C4D8E" w:rsidRDefault="00CD61C6" w:rsidP="00D13B21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Набавна вредност у пословним књигама са стањем 31.12.</w:t>
            </w:r>
            <w:r w:rsidR="004E6810"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2024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године</w:t>
            </w:r>
          </w:p>
        </w:tc>
      </w:tr>
      <w:tr w:rsidR="00CD61C6" w:rsidRPr="000C4D8E" w14:paraId="4B0B0BE0" w14:textId="77777777" w:rsidTr="00CD61C6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20F4A2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55A05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Осигурање опреме  од ризика лома машина 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br/>
              <w:t>Опрема  од ризика лома машина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br/>
              <w:t>Укључити доплатке за откуп амортизације и франшизе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F56AB1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40.315.790,88</w:t>
            </w:r>
          </w:p>
        </w:tc>
      </w:tr>
      <w:tr w:rsidR="00CD61C6" w:rsidRPr="000C4D8E" w14:paraId="67A8199F" w14:textId="77777777" w:rsidTr="00CD61C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8B8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43E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Опрема, машине и апарати без намештаја и рачунара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740" w14:textId="77777777" w:rsidR="00CD61C6" w:rsidRPr="000C4D8E" w:rsidRDefault="003D7400" w:rsidP="004E6810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en-US"/>
              </w:rPr>
              <w:t xml:space="preserve">        40.315.790,88</w:t>
            </w:r>
          </w:p>
        </w:tc>
      </w:tr>
      <w:tr w:rsidR="00CD61C6" w:rsidRPr="000C4D8E" w14:paraId="3E37A0BD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CB85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703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42C6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CD61C6" w:rsidRPr="000C4D8E" w14:paraId="530AEAFD" w14:textId="77777777" w:rsidTr="00CD61C6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6868945E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Редни број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0F10B9D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ПРЕДМЕТ ОСИГУРАЊА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0FB5F87F" w14:textId="77777777" w:rsidR="00CD61C6" w:rsidRPr="000C4D8E" w:rsidRDefault="00CD61C6" w:rsidP="00D13B21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Набавна вредност у пословним књигама са стањем 31.12.</w:t>
            </w:r>
            <w:r w:rsidR="004E6810"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2024</w:t>
            </w:r>
            <w:r w:rsidR="00D13B21"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.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године</w:t>
            </w:r>
          </w:p>
        </w:tc>
      </w:tr>
      <w:tr w:rsidR="00CD61C6" w:rsidRPr="000C4D8E" w14:paraId="5575B800" w14:textId="77777777" w:rsidTr="00CD61C6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E5D75B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083AA07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Комбиновано осигурање електронских рачунара. 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br/>
              <w:t>Процесора и сличних уређаја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br/>
              <w:t>Укључити доплатке за откуп амортизације и франшизе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61EC4EE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31.914.203,70</w:t>
            </w:r>
          </w:p>
        </w:tc>
      </w:tr>
      <w:tr w:rsidR="00CD61C6" w:rsidRPr="000C4D8E" w14:paraId="10336317" w14:textId="77777777" w:rsidTr="00CD61C6">
        <w:trPr>
          <w:trHeight w:val="53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42A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4.2.1.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2C5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Рачунари и припадајућа опрема (штампачи и мреже)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C4A" w14:textId="77777777" w:rsidR="00CD61C6" w:rsidRPr="000C4D8E" w:rsidRDefault="003D7400" w:rsidP="004E6810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en-US"/>
              </w:rPr>
              <w:t xml:space="preserve">        31.914.203,70</w:t>
            </w:r>
          </w:p>
        </w:tc>
      </w:tr>
      <w:tr w:rsidR="00CD61C6" w:rsidRPr="000C4D8E" w14:paraId="08325DDE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14BE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704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C4E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CD61C6" w:rsidRPr="000C4D8E" w14:paraId="69372EF2" w14:textId="77777777" w:rsidTr="00CD61C6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2AD9AC38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Редни број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7BB09D55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ПРЕДМЕТ ОСИГУРАЊА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4190C089" w14:textId="77777777" w:rsidR="00CD61C6" w:rsidRPr="000C4D8E" w:rsidRDefault="00CD61C6" w:rsidP="00D13B21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Набавна вредност у пословним књигама са стањем 31.12.</w:t>
            </w:r>
            <w:r w:rsidR="004E6810"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2024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. године</w:t>
            </w:r>
          </w:p>
        </w:tc>
      </w:tr>
      <w:tr w:rsidR="00CD61C6" w:rsidRPr="000C4D8E" w14:paraId="723242E3" w14:textId="77777777" w:rsidTr="00CD61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10D854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47BCE5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Осигурање од ризика провалне крађе и разбојништва – сума осигурања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2687BD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91.061.803,46</w:t>
            </w:r>
          </w:p>
        </w:tc>
      </w:tr>
      <w:tr w:rsidR="00CD61C6" w:rsidRPr="000C4D8E" w14:paraId="0BB4D238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785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FE7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Опрема ,намештај апарати и уређаји Кнеза Милоша 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FAB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78.528.731,16</w:t>
            </w:r>
          </w:p>
        </w:tc>
      </w:tr>
      <w:tr w:rsidR="00CD61C6" w:rsidRPr="000C4D8E" w14:paraId="0B8E461D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06F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C1E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Опрема ,намештај апарати и уређаји Кнеза Милоша 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8A2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8.659.166,65</w:t>
            </w:r>
          </w:p>
        </w:tc>
      </w:tr>
      <w:tr w:rsidR="00CD61C6" w:rsidRPr="000C4D8E" w14:paraId="700C2A8F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00B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7F6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Опрема ,намештај апарати и уређаји Кнеза Милоша 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CD8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3.873.905,65</w:t>
            </w:r>
          </w:p>
        </w:tc>
      </w:tr>
      <w:tr w:rsidR="00CD61C6" w:rsidRPr="000C4D8E" w14:paraId="2E9CF2AD" w14:textId="77777777" w:rsidTr="00CD61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5F7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 5.4.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B80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Менице у закључаној благајни Кнеза Милоша 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53C" w14:textId="77777777" w:rsidR="00CD61C6" w:rsidRPr="000C4D8E" w:rsidRDefault="003D7400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78.923.480,12</w:t>
            </w:r>
          </w:p>
        </w:tc>
      </w:tr>
    </w:tbl>
    <w:p w14:paraId="63DAF3A8" w14:textId="77777777" w:rsidR="000C4D8E" w:rsidRDefault="000C4D8E">
      <w:pPr>
        <w:rPr>
          <w:lang w:val="sr-Cyrl-RS"/>
        </w:rPr>
      </w:pPr>
    </w:p>
    <w:p w14:paraId="24CF603A" w14:textId="77777777" w:rsidR="000C4D8E" w:rsidRDefault="000C4D8E">
      <w:pPr>
        <w:rPr>
          <w:lang w:val="sr-Cyrl-RS"/>
        </w:rPr>
      </w:pPr>
    </w:p>
    <w:p w14:paraId="43627323" w14:textId="77777777" w:rsidR="000C4D8E" w:rsidRDefault="000C4D8E">
      <w:pPr>
        <w:rPr>
          <w:lang w:val="sr-Cyrl-RS"/>
        </w:rPr>
      </w:pPr>
    </w:p>
    <w:p w14:paraId="0618E982" w14:textId="77777777" w:rsidR="000C4D8E" w:rsidRDefault="000C4D8E">
      <w:pPr>
        <w:rPr>
          <w:lang w:val="sr-Cyrl-RS"/>
        </w:rPr>
      </w:pPr>
    </w:p>
    <w:p w14:paraId="439EF6C6" w14:textId="77777777" w:rsidR="000C4D8E" w:rsidRPr="000C4D8E" w:rsidRDefault="000C4D8E">
      <w:pPr>
        <w:rPr>
          <w:lang w:val="sr-Cyrl-RS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840"/>
        <w:gridCol w:w="5980"/>
        <w:gridCol w:w="2340"/>
      </w:tblGrid>
      <w:tr w:rsidR="00CD61C6" w:rsidRPr="000C4D8E" w14:paraId="174997AF" w14:textId="77777777" w:rsidTr="000C4D8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65811FF0" w14:textId="6A338CC4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Редни Број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25B32F3A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Врста стакла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14:paraId="66279344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Површина</w:t>
            </w:r>
          </w:p>
        </w:tc>
      </w:tr>
      <w:tr w:rsidR="00CD61C6" w:rsidRPr="000C4D8E" w14:paraId="539D82AC" w14:textId="77777777" w:rsidTr="000C4D8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BDC" w:fill="D6DCE4"/>
            <w:vAlign w:val="center"/>
            <w:hideMark/>
          </w:tcPr>
          <w:p w14:paraId="7D4CD15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707DC5D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Осигурање стакла од лома – сума осигурања</w:t>
            </w:r>
          </w:p>
        </w:tc>
      </w:tr>
      <w:tr w:rsidR="00CD61C6" w:rsidRPr="000C4D8E" w14:paraId="1E51BDD9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4BD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01DA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69 „I ризика“</w:t>
            </w:r>
          </w:p>
        </w:tc>
      </w:tr>
      <w:tr w:rsidR="00CD61C6" w:rsidRPr="000C4D8E" w14:paraId="6F491FD1" w14:textId="77777777" w:rsidTr="000C4D8E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E368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1C0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Двоструко равно провидно стакло пуњено аргоном у међупростору (унутрашње стакло је нискоемисионо)</w:t>
            </w: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br/>
              <w:t xml:space="preserve">4мм+16мм+4мм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BD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10 M ²</w:t>
            </w:r>
          </w:p>
        </w:tc>
      </w:tr>
      <w:tr w:rsidR="00CD61C6" w:rsidRPr="000C4D8E" w14:paraId="72581D27" w14:textId="77777777" w:rsidTr="000C4D8E">
        <w:trPr>
          <w:trHeight w:val="3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978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09A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69</w:t>
            </w:r>
          </w:p>
        </w:tc>
      </w:tr>
      <w:tr w:rsidR="00CD61C6" w:rsidRPr="000C4D8E" w14:paraId="17DC1A36" w14:textId="77777777" w:rsidTr="000C4D8E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5DA0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1BA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Двоструко равно провидно стакло пуњено аргоном у међупростору (унутрашње стакло је нискоемисионо)</w:t>
            </w: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br/>
              <w:t>4мм+16мм+4мм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4CD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250м²</w:t>
            </w:r>
          </w:p>
        </w:tc>
      </w:tr>
      <w:tr w:rsidR="00CD61C6" w:rsidRPr="000C4D8E" w14:paraId="0E5875C9" w14:textId="77777777" w:rsidTr="000C4D8E">
        <w:trPr>
          <w:trHeight w:val="6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602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6.3.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401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69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br/>
              <w:t>Помични стаклени зид (сала   I спрат)</w:t>
            </w:r>
          </w:p>
        </w:tc>
      </w:tr>
      <w:tr w:rsidR="00CD61C6" w:rsidRPr="000C4D8E" w14:paraId="77B38935" w14:textId="77777777" w:rsidTr="000C4D8E">
        <w:trPr>
          <w:trHeight w:val="21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5511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E18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Стаклени преградни зид на основу клизног система који се састоји од 5 стаклених панела (од каљеног стакла  дебљине 10мм) од којих први има функцију врата,причвршћен на две шарке у доњој зони ,у горњој зони је причвршћен АЛ профилу.Остала четири панела су покретна  на механизмима.</w:t>
            </w: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br/>
              <w:t>Дим. L=4,25 М  H=2.65М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E5E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11.27 м²</w:t>
            </w:r>
          </w:p>
        </w:tc>
      </w:tr>
      <w:tr w:rsidR="00CD61C6" w:rsidRPr="000C4D8E" w14:paraId="16381402" w14:textId="77777777" w:rsidTr="000C4D8E">
        <w:trPr>
          <w:trHeight w:val="21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A705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2E4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На стакло са једне стране је залепљена фолија да би преграде биле непровидне.</w:t>
            </w: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br/>
              <w:t>Једнокрилна стаклена клизна врата  са алуминијумском шином и котрљајућим механизмом од каљеног стакла дебљине 10мм) На стакло са једне стране је залепљена фолија да би врата била непровидна</w:t>
            </w: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br/>
              <w:t>Дим. L=1,25 М  H=2.20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A22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2,75 м²</w:t>
            </w:r>
          </w:p>
        </w:tc>
      </w:tr>
      <w:tr w:rsidR="00CD61C6" w:rsidRPr="000C4D8E" w14:paraId="798B8CC2" w14:textId="77777777" w:rsidTr="000C4D8E">
        <w:trPr>
          <w:trHeight w:val="6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96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6.4.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BF7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69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br/>
              <w:t>Помична стаклена врата (ходник   III спрат)</w:t>
            </w:r>
          </w:p>
        </w:tc>
      </w:tr>
      <w:tr w:rsidR="00CD61C6" w:rsidRPr="000C4D8E" w14:paraId="0381CDBB" w14:textId="77777777" w:rsidTr="000C4D8E">
        <w:trPr>
          <w:trHeight w:val="18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862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5D3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Двокрилна стаклена врата са надвратним и бочним стакленим деловима све од каљеног стакла дебљине 10 мм. У доњој зони на вратима налази се алуминијумски профил система са патос четком. На стакло са једне стране је залепљена фолија да би врата била непровидна</w:t>
            </w: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br/>
              <w:t>Дим. L=1,80 М  H=2.65М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A9F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4.77 м²</w:t>
            </w:r>
          </w:p>
        </w:tc>
      </w:tr>
      <w:tr w:rsidR="00CD61C6" w:rsidRPr="000C4D8E" w14:paraId="5360C48A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BDA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6.5.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78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69 – улазна врата</w:t>
            </w:r>
          </w:p>
        </w:tc>
      </w:tr>
      <w:tr w:rsidR="00CD61C6" w:rsidRPr="000C4D8E" w14:paraId="551ED7F6" w14:textId="77777777" w:rsidTr="000C4D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B933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5E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Фиксно флот стакло дебљине 4мм+16мм+4мм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A6D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7,5м²</w:t>
            </w:r>
          </w:p>
        </w:tc>
      </w:tr>
      <w:tr w:rsidR="00CD61C6" w:rsidRPr="000C4D8E" w14:paraId="0A5CEDDA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355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6.6.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AFC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69, Пријемна канцеларија Писарнице</w:t>
            </w:r>
          </w:p>
        </w:tc>
      </w:tr>
      <w:tr w:rsidR="00CD61C6" w:rsidRPr="000C4D8E" w14:paraId="5929E1BD" w14:textId="77777777" w:rsidTr="000C4D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71AE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D81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Фиксно флот стакло дебљине 4 мм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7AB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1,27м²</w:t>
            </w:r>
          </w:p>
        </w:tc>
      </w:tr>
      <w:tr w:rsidR="00CD61C6" w:rsidRPr="000C4D8E" w14:paraId="7FCF6BAF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89A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6.7.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6B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69 – Анекс улазна врата и фикс</w:t>
            </w:r>
          </w:p>
        </w:tc>
      </w:tr>
      <w:tr w:rsidR="00CD61C6" w:rsidRPr="000C4D8E" w14:paraId="5D65D3E4" w14:textId="77777777" w:rsidTr="000C4D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08A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7C6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Двоструко равно провидно стакло 4мм+16мм+4мм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DA1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7,42м²</w:t>
            </w:r>
          </w:p>
        </w:tc>
      </w:tr>
      <w:tr w:rsidR="00CD61C6" w:rsidRPr="000C4D8E" w14:paraId="6997C278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9D5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6.8.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85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69 – два фикса на улазу</w:t>
            </w:r>
          </w:p>
        </w:tc>
      </w:tr>
      <w:tr w:rsidR="00CD61C6" w:rsidRPr="000C4D8E" w14:paraId="2BD59924" w14:textId="77777777" w:rsidTr="000C4D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6442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30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Двоструко равно провидно стакло 4мм+16мм+4мм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BA2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7,60м²</w:t>
            </w:r>
          </w:p>
        </w:tc>
      </w:tr>
      <w:tr w:rsidR="00CD61C6" w:rsidRPr="000C4D8E" w14:paraId="5CC4A506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1E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6.9.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AC1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69 – шалтери</w:t>
            </w:r>
          </w:p>
        </w:tc>
      </w:tr>
      <w:tr w:rsidR="00CD61C6" w:rsidRPr="000C4D8E" w14:paraId="53C3C3F1" w14:textId="77777777" w:rsidTr="000C4D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BB21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D08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Фиксно флот стакло дебљине 8мм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21E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6.36м²</w:t>
            </w:r>
          </w:p>
        </w:tc>
      </w:tr>
      <w:tr w:rsidR="00CD61C6" w:rsidRPr="000C4D8E" w14:paraId="74668DF4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37D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7.0.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B3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99 „I ризика“</w:t>
            </w:r>
          </w:p>
        </w:tc>
      </w:tr>
      <w:tr w:rsidR="00CD61C6" w:rsidRPr="000C4D8E" w14:paraId="4D4F7A84" w14:textId="77777777" w:rsidTr="000C4D8E">
        <w:trPr>
          <w:trHeight w:val="27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B158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3F6F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Фиксно флот стакло дебљине 4мм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D38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10.00 м²</w:t>
            </w:r>
          </w:p>
        </w:tc>
      </w:tr>
      <w:tr w:rsidR="00CD61C6" w:rsidRPr="000C4D8E" w14:paraId="73FCCBE7" w14:textId="77777777" w:rsidTr="000C4D8E">
        <w:trPr>
          <w:trHeight w:val="278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E660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B92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99</w:t>
            </w:r>
          </w:p>
        </w:tc>
      </w:tr>
      <w:tr w:rsidR="00CD61C6" w:rsidRPr="000C4D8E" w14:paraId="59C51692" w14:textId="77777777" w:rsidTr="000C4D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6224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76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Фиксно флот стакло дебљине 4мм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3A1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123,00м²</w:t>
            </w:r>
          </w:p>
        </w:tc>
      </w:tr>
      <w:tr w:rsidR="00CD61C6" w:rsidRPr="000C4D8E" w14:paraId="2BAA2083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C22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02D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99</w:t>
            </w:r>
          </w:p>
        </w:tc>
      </w:tr>
      <w:tr w:rsidR="00CD61C6" w:rsidRPr="000C4D8E" w14:paraId="325DA549" w14:textId="77777777" w:rsidTr="000C4D8E">
        <w:trPr>
          <w:trHeight w:val="27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03FA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51E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Рељефно фиксно стакло дебљине 4 мм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477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7.00 м²</w:t>
            </w:r>
          </w:p>
        </w:tc>
      </w:tr>
      <w:tr w:rsidR="00CD61C6" w:rsidRPr="000C4D8E" w14:paraId="16E425A5" w14:textId="77777777" w:rsidTr="000C4D8E">
        <w:trPr>
          <w:trHeight w:val="278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302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7.3.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420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99</w:t>
            </w:r>
          </w:p>
        </w:tc>
      </w:tr>
      <w:tr w:rsidR="00CD61C6" w:rsidRPr="000C4D8E" w14:paraId="5D9E2208" w14:textId="77777777" w:rsidTr="000C4D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F27F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DE3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Армирано фиксно стакло дебљине 4 мм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89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7.00 м²</w:t>
            </w:r>
          </w:p>
        </w:tc>
      </w:tr>
      <w:tr w:rsidR="00CD61C6" w:rsidRPr="000C4D8E" w14:paraId="237C7CFE" w14:textId="77777777" w:rsidTr="000C4D8E">
        <w:trPr>
          <w:trHeight w:val="610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68C67F2" w14:textId="77777777" w:rsidR="00CD61C6" w:rsidRPr="000C4D8E" w:rsidRDefault="00CD61C6" w:rsidP="00CD61C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Кнеза Милоша 69 Први спрат</w:t>
            </w:r>
          </w:p>
        </w:tc>
      </w:tr>
      <w:tr w:rsidR="00CD61C6" w:rsidRPr="000C4D8E" w14:paraId="0FB87F8A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A1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7.4.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893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Врата канцеларије 10 ком</w:t>
            </w:r>
          </w:p>
        </w:tc>
      </w:tr>
      <w:tr w:rsidR="00CD61C6" w:rsidRPr="000C4D8E" w14:paraId="723DE74F" w14:textId="77777777" w:rsidTr="000C4D8E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8655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35F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Фиксно флот стакло дебљине 6мм, као испуна врата од елоксираног алуминијума .На стакло са једне стране је залепљена фолија да би врата била непровидна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AD8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14,95м²</w:t>
            </w:r>
          </w:p>
        </w:tc>
      </w:tr>
      <w:tr w:rsidR="00CD61C6" w:rsidRPr="000C4D8E" w14:paraId="3FA6BEC6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F8B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7.5.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C6C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Улази у салу и канцеларије 2 ком</w:t>
            </w:r>
          </w:p>
        </w:tc>
      </w:tr>
      <w:tr w:rsidR="00CD61C6" w:rsidRPr="000C4D8E" w14:paraId="792C47C6" w14:textId="77777777" w:rsidTr="000C4D8E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8F36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04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Фиксно флот стакло дебљине 6мм, као испуна врата од елоксираног алуминијума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C28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7,38м²</w:t>
            </w:r>
          </w:p>
        </w:tc>
      </w:tr>
      <w:tr w:rsidR="00CD61C6" w:rsidRPr="000C4D8E" w14:paraId="26102576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081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7.6.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C28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Преграда у делу пријава новорођенчади</w:t>
            </w:r>
          </w:p>
        </w:tc>
      </w:tr>
      <w:tr w:rsidR="00CD61C6" w:rsidRPr="000C4D8E" w14:paraId="34F9DED4" w14:textId="77777777" w:rsidTr="000C4D8E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EBEB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7E38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Фиксно флот стакло дебљине 6мм,  у раму од елоксираног алуминијума На стакло са једне стране је залепљена фолија да би преграда  била непровидна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11B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11,40м²</w:t>
            </w:r>
          </w:p>
        </w:tc>
      </w:tr>
      <w:tr w:rsidR="00CD61C6" w:rsidRPr="000C4D8E" w14:paraId="06BE5EA8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292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7.7.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6C9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Сала терасе (дрв. Врата)</w:t>
            </w:r>
          </w:p>
        </w:tc>
      </w:tr>
      <w:tr w:rsidR="00CD61C6" w:rsidRPr="000C4D8E" w14:paraId="51833AAF" w14:textId="77777777" w:rsidTr="000C4D8E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FA25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03E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Фиксно флот стакло дебљине 4мм, као испуна дрвених двоструких врата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2FC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6,04м²</w:t>
            </w:r>
          </w:p>
        </w:tc>
      </w:tr>
      <w:tr w:rsidR="00CD61C6" w:rsidRPr="000C4D8E" w14:paraId="4CB97174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CF3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7.8.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3CB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Сала терасе (елокс)</w:t>
            </w:r>
          </w:p>
        </w:tc>
      </w:tr>
      <w:tr w:rsidR="00CD61C6" w:rsidRPr="000C4D8E" w14:paraId="7AFD099B" w14:textId="77777777" w:rsidTr="000C4D8E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5FC3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F8A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Фиксно флот стакло дебљине 6мм,као и испуна  врата и рама  од елоксираног алуминијума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7B7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9,28м²</w:t>
            </w:r>
          </w:p>
        </w:tc>
      </w:tr>
      <w:tr w:rsidR="00CD61C6" w:rsidRPr="000C4D8E" w14:paraId="363F36BD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D01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7.9.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634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Витраж  2 ком</w:t>
            </w:r>
          </w:p>
        </w:tc>
      </w:tr>
      <w:tr w:rsidR="00CD61C6" w:rsidRPr="000C4D8E" w14:paraId="7E12264A" w14:textId="77777777" w:rsidTr="000C4D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F3A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140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Фиксно флот стакло дебљине 4мм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B2C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9,14м²</w:t>
            </w:r>
          </w:p>
        </w:tc>
      </w:tr>
      <w:tr w:rsidR="00CD61C6" w:rsidRPr="000C4D8E" w14:paraId="58DB7665" w14:textId="77777777" w:rsidTr="000C4D8E">
        <w:trPr>
          <w:trHeight w:val="6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6E3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7.10.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BA3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47</w:t>
            </w: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br/>
              <w:t>„I ризика“</w:t>
            </w:r>
          </w:p>
        </w:tc>
      </w:tr>
      <w:tr w:rsidR="00CD61C6" w:rsidRPr="000C4D8E" w14:paraId="2DEC8E15" w14:textId="77777777" w:rsidTr="000C4D8E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D3C9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0B7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Фиксно термопан стакло 4мм+12мм+4мм у штоку од ламелираних профила јелове грађе као једноструки четворокрилни прозори димензија </w:t>
            </w: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br/>
              <w:t>1,16 x 2,1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F80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8,00 м²</w:t>
            </w:r>
          </w:p>
        </w:tc>
      </w:tr>
      <w:tr w:rsidR="00CD61C6" w:rsidRPr="000C4D8E" w14:paraId="76FD4902" w14:textId="77777777" w:rsidTr="000C4D8E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060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8.0.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BC6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К. Милоша 47</w:t>
            </w:r>
          </w:p>
        </w:tc>
      </w:tr>
      <w:tr w:rsidR="00CD61C6" w:rsidRPr="000C4D8E" w14:paraId="70004AB0" w14:textId="77777777" w:rsidTr="000C4D8E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C6C3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1C8D" w14:textId="77777777" w:rsidR="00CD61C6" w:rsidRPr="000C4D8E" w:rsidRDefault="00CD61C6" w:rsidP="00CD61C6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 xml:space="preserve">Фиксно термопан стакло 4мм+12мм+4мм у штоку од ламелираних профила јелове грађе као једноструки четворокрилни прозори димензија </w:t>
            </w: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br/>
              <w:t>1,16 x2,1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4DA" w14:textId="77777777" w:rsidR="00CD61C6" w:rsidRPr="000C4D8E" w:rsidRDefault="00CD61C6" w:rsidP="00CD61C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C4D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/>
              </w:rPr>
              <w:t>45,00м²</w:t>
            </w:r>
          </w:p>
        </w:tc>
      </w:tr>
    </w:tbl>
    <w:p w14:paraId="563E2451" w14:textId="77777777" w:rsidR="00CD61C6" w:rsidRPr="000C4D8E" w:rsidRDefault="00CD61C6" w:rsidP="006565BA">
      <w:pPr>
        <w:rPr>
          <w:rFonts w:asciiTheme="minorHAnsi" w:hAnsiTheme="minorHAnsi" w:cstheme="minorHAnsi"/>
          <w:sz w:val="22"/>
          <w:szCs w:val="22"/>
        </w:rPr>
      </w:pPr>
    </w:p>
    <w:p w14:paraId="2904244C" w14:textId="77777777" w:rsidR="009E274F" w:rsidRPr="000C4D8E" w:rsidRDefault="009E274F" w:rsidP="006565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F14E87" w14:textId="77777777" w:rsidR="009E274F" w:rsidRDefault="009E274F" w:rsidP="006565BA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48A218E6" w14:textId="77777777" w:rsidR="000C4D8E" w:rsidRPr="000C4D8E" w:rsidRDefault="000C4D8E" w:rsidP="006565BA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A5E5F7F" w14:textId="21FA771C" w:rsidR="009C6212" w:rsidRPr="000C4D8E" w:rsidRDefault="0093502D" w:rsidP="006565BA">
      <w:pPr>
        <w:suppressAutoHyphens w:val="0"/>
        <w:spacing w:line="240" w:lineRule="auto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0C4D8E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Начин спровођења контроле: </w:t>
      </w:r>
      <w:r w:rsidR="000C4D8E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RS"/>
        </w:rPr>
        <w:t xml:space="preserve">Решењем наручиоца биже одређено лице које ће </w:t>
      </w:r>
      <w:r w:rsidR="009F2091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RS"/>
        </w:rPr>
        <w:t>контролисати</w:t>
      </w:r>
      <w:r w:rsidR="000C4D8E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RS"/>
        </w:rPr>
        <w:t xml:space="preserve"> реализацију уговора.</w:t>
      </w:r>
    </w:p>
    <w:p w14:paraId="341EDEE1" w14:textId="77777777" w:rsidR="009F2091" w:rsidRPr="00CD68EF" w:rsidRDefault="009F2091" w:rsidP="009F2091">
      <w:p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D3733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Начин плаћања: </w:t>
      </w:r>
      <w:r w:rsidRPr="005D373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по испостављеном рачуну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у 12 једнаких месечних рата.</w:t>
      </w:r>
    </w:p>
    <w:p w14:paraId="1F593D93" w14:textId="77777777" w:rsidR="009F2091" w:rsidRDefault="009F2091" w:rsidP="009F2091">
      <w:p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3D57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Рок за исплату</w:t>
      </w:r>
      <w:r w:rsidRPr="002D3D57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2D3D57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осигуране суме</w:t>
      </w:r>
      <w:r w:rsidRPr="002D3D57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за све наведене случајеве осигурања у техничкој спецификацији, је максимално 14 (четрнаест) дана од дана пријема Пријаве осигураног случаја са пратећом документацијом</w:t>
      </w:r>
      <w:r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3D9BF018" w14:textId="77777777" w:rsidR="009F2091" w:rsidRPr="005D3733" w:rsidRDefault="009F2091" w:rsidP="009F2091">
      <w:p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D3733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Место пружања услуге: </w:t>
      </w:r>
      <w:r w:rsidRPr="00F86D2C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Београд,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sr-Cyrl-CS"/>
        </w:rPr>
        <w:t>Градска општина</w:t>
      </w:r>
      <w:r w:rsidRPr="005D373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Савски венац</w:t>
      </w:r>
    </w:p>
    <w:p w14:paraId="22568B55" w14:textId="477C0138" w:rsidR="009F2091" w:rsidRPr="005D3733" w:rsidRDefault="009F2091" w:rsidP="009F2091">
      <w:p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Важење полисе осигурања</w:t>
      </w:r>
      <w:r w:rsidRPr="005D3733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: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2D3D57">
        <w:rPr>
          <w:rFonts w:asciiTheme="minorHAnsi" w:hAnsiTheme="minorHAnsi" w:cstheme="minorHAnsi"/>
          <w:sz w:val="22"/>
          <w:szCs w:val="22"/>
          <w:lang w:val="sr-Cyrl-CS"/>
        </w:rPr>
        <w:t>24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2D3D57">
        <w:rPr>
          <w:rFonts w:asciiTheme="minorHAnsi" w:hAnsiTheme="minorHAnsi" w:cstheme="minorHAnsi"/>
          <w:sz w:val="22"/>
          <w:szCs w:val="22"/>
          <w:lang w:val="sr-Cyrl-CS"/>
        </w:rPr>
        <w:t xml:space="preserve"> сата дневно за </w:t>
      </w:r>
      <w:r w:rsidRPr="002D3D57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време трајања Уговора.</w:t>
      </w:r>
    </w:p>
    <w:p w14:paraId="6D2C01B6" w14:textId="031C62A4" w:rsidR="009F2091" w:rsidRPr="005D3733" w:rsidRDefault="009F2091" w:rsidP="009F2091">
      <w:p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D3733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Период важења уговора: </w:t>
      </w:r>
      <w:r w:rsidRPr="005D373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12 месеци</w:t>
      </w:r>
    </w:p>
    <w:p w14:paraId="4C4A880C" w14:textId="77777777" w:rsidR="009F2091" w:rsidRPr="005D3733" w:rsidRDefault="009F2091" w:rsidP="009F2091">
      <w:p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D3733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Контрола квалитета:</w:t>
      </w:r>
      <w:r w:rsidRPr="0009208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Лице задужено Решењем председника општине врши праћење реачизације уговора.</w:t>
      </w:r>
    </w:p>
    <w:sectPr w:rsidR="009F2091" w:rsidRPr="005D3733" w:rsidSect="00A163B0">
      <w:footerReference w:type="default" r:id="rId8"/>
      <w:pgSz w:w="12240" w:h="15840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357CC" w14:textId="77777777" w:rsidR="00AE1D2E" w:rsidRDefault="00AE1D2E" w:rsidP="00CD61C6">
      <w:pPr>
        <w:spacing w:line="240" w:lineRule="auto"/>
      </w:pPr>
      <w:r>
        <w:separator/>
      </w:r>
    </w:p>
  </w:endnote>
  <w:endnote w:type="continuationSeparator" w:id="0">
    <w:p w14:paraId="3129D195" w14:textId="77777777" w:rsidR="00AE1D2E" w:rsidRDefault="00AE1D2E" w:rsidP="00CD6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09780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12882983" w14:textId="4256C4B6" w:rsidR="009F2091" w:rsidRPr="009F2091" w:rsidRDefault="009F2091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F209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F209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F209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F209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F2091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AD05D71" w14:textId="77777777" w:rsidR="009F2091" w:rsidRDefault="009F2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77C4" w14:textId="77777777" w:rsidR="00AE1D2E" w:rsidRDefault="00AE1D2E" w:rsidP="00CD61C6">
      <w:pPr>
        <w:spacing w:line="240" w:lineRule="auto"/>
      </w:pPr>
      <w:r>
        <w:separator/>
      </w:r>
    </w:p>
  </w:footnote>
  <w:footnote w:type="continuationSeparator" w:id="0">
    <w:p w14:paraId="619C85E2" w14:textId="77777777" w:rsidR="00AE1D2E" w:rsidRDefault="00AE1D2E" w:rsidP="00CD61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87B23"/>
    <w:multiLevelType w:val="hybridMultilevel"/>
    <w:tmpl w:val="6EF2CAD4"/>
    <w:lvl w:ilvl="0" w:tplc="719858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6FFC"/>
    <w:multiLevelType w:val="hybridMultilevel"/>
    <w:tmpl w:val="D1A4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52798">
    <w:abstractNumId w:val="0"/>
  </w:num>
  <w:num w:numId="2" w16cid:durableId="1924531372">
    <w:abstractNumId w:val="2"/>
  </w:num>
  <w:num w:numId="3" w16cid:durableId="9398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A"/>
    <w:rsid w:val="00001467"/>
    <w:rsid w:val="00073605"/>
    <w:rsid w:val="00091969"/>
    <w:rsid w:val="000A02CE"/>
    <w:rsid w:val="000A7E0B"/>
    <w:rsid w:val="000B010A"/>
    <w:rsid w:val="000C4D8E"/>
    <w:rsid w:val="000D7FE4"/>
    <w:rsid w:val="000E761B"/>
    <w:rsid w:val="000F0A8D"/>
    <w:rsid w:val="00131FC4"/>
    <w:rsid w:val="00167819"/>
    <w:rsid w:val="001A45FC"/>
    <w:rsid w:val="001F2EE1"/>
    <w:rsid w:val="00201B96"/>
    <w:rsid w:val="00206CEE"/>
    <w:rsid w:val="002073AE"/>
    <w:rsid w:val="0023276A"/>
    <w:rsid w:val="00254E0B"/>
    <w:rsid w:val="00257CB3"/>
    <w:rsid w:val="002729B4"/>
    <w:rsid w:val="002A4693"/>
    <w:rsid w:val="002A7542"/>
    <w:rsid w:val="002B6AFB"/>
    <w:rsid w:val="002D063D"/>
    <w:rsid w:val="002D3D57"/>
    <w:rsid w:val="00320B8C"/>
    <w:rsid w:val="003261CF"/>
    <w:rsid w:val="00346716"/>
    <w:rsid w:val="0037136D"/>
    <w:rsid w:val="00384FED"/>
    <w:rsid w:val="003C6E3B"/>
    <w:rsid w:val="003D7400"/>
    <w:rsid w:val="003E523B"/>
    <w:rsid w:val="003E762C"/>
    <w:rsid w:val="00432348"/>
    <w:rsid w:val="00443F36"/>
    <w:rsid w:val="004662D9"/>
    <w:rsid w:val="00477BA7"/>
    <w:rsid w:val="004A5F7F"/>
    <w:rsid w:val="004C1339"/>
    <w:rsid w:val="004D0B56"/>
    <w:rsid w:val="004E4B7B"/>
    <w:rsid w:val="004E6810"/>
    <w:rsid w:val="004F0147"/>
    <w:rsid w:val="004F2DA5"/>
    <w:rsid w:val="00500839"/>
    <w:rsid w:val="00500DB5"/>
    <w:rsid w:val="00501F71"/>
    <w:rsid w:val="00571033"/>
    <w:rsid w:val="00596F58"/>
    <w:rsid w:val="005A3C8C"/>
    <w:rsid w:val="005C1487"/>
    <w:rsid w:val="005D3733"/>
    <w:rsid w:val="00630BC9"/>
    <w:rsid w:val="006443A6"/>
    <w:rsid w:val="006565BA"/>
    <w:rsid w:val="00674369"/>
    <w:rsid w:val="006D417F"/>
    <w:rsid w:val="006E62C5"/>
    <w:rsid w:val="00704315"/>
    <w:rsid w:val="00717AAF"/>
    <w:rsid w:val="00742BA2"/>
    <w:rsid w:val="0076696B"/>
    <w:rsid w:val="007C66AF"/>
    <w:rsid w:val="007E5437"/>
    <w:rsid w:val="00840D5A"/>
    <w:rsid w:val="008624CD"/>
    <w:rsid w:val="008C4CC3"/>
    <w:rsid w:val="008D318F"/>
    <w:rsid w:val="0093502D"/>
    <w:rsid w:val="009829E3"/>
    <w:rsid w:val="00984280"/>
    <w:rsid w:val="00990920"/>
    <w:rsid w:val="009C6212"/>
    <w:rsid w:val="009D65EF"/>
    <w:rsid w:val="009E274F"/>
    <w:rsid w:val="009F2091"/>
    <w:rsid w:val="00A163B0"/>
    <w:rsid w:val="00A27A46"/>
    <w:rsid w:val="00A310D4"/>
    <w:rsid w:val="00AB437F"/>
    <w:rsid w:val="00AC6F78"/>
    <w:rsid w:val="00AE1D2E"/>
    <w:rsid w:val="00B02778"/>
    <w:rsid w:val="00B12DFA"/>
    <w:rsid w:val="00B2478A"/>
    <w:rsid w:val="00B4416B"/>
    <w:rsid w:val="00B72C83"/>
    <w:rsid w:val="00B95F31"/>
    <w:rsid w:val="00B96D5C"/>
    <w:rsid w:val="00BD442E"/>
    <w:rsid w:val="00BE4736"/>
    <w:rsid w:val="00BE7E4B"/>
    <w:rsid w:val="00BF496B"/>
    <w:rsid w:val="00C01BFF"/>
    <w:rsid w:val="00C07730"/>
    <w:rsid w:val="00C1513E"/>
    <w:rsid w:val="00C85F47"/>
    <w:rsid w:val="00C94D86"/>
    <w:rsid w:val="00CA2D6E"/>
    <w:rsid w:val="00CD61C6"/>
    <w:rsid w:val="00CD68EF"/>
    <w:rsid w:val="00CF3D9F"/>
    <w:rsid w:val="00D13B21"/>
    <w:rsid w:val="00D459EA"/>
    <w:rsid w:val="00D72B6D"/>
    <w:rsid w:val="00D85C74"/>
    <w:rsid w:val="00D97F22"/>
    <w:rsid w:val="00DF5363"/>
    <w:rsid w:val="00E0183D"/>
    <w:rsid w:val="00E31AB0"/>
    <w:rsid w:val="00E3386A"/>
    <w:rsid w:val="00E347EA"/>
    <w:rsid w:val="00EA1F3B"/>
    <w:rsid w:val="00EA58FD"/>
    <w:rsid w:val="00EC147C"/>
    <w:rsid w:val="00EC52C6"/>
    <w:rsid w:val="00EE1948"/>
    <w:rsid w:val="00F0287B"/>
    <w:rsid w:val="00F13544"/>
    <w:rsid w:val="00F42883"/>
    <w:rsid w:val="00F55DC2"/>
    <w:rsid w:val="00F605FE"/>
    <w:rsid w:val="00F924D4"/>
    <w:rsid w:val="00F96C90"/>
    <w:rsid w:val="00FA38D3"/>
    <w:rsid w:val="00FD296F"/>
    <w:rsid w:val="00FD41FD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F34D"/>
  <w15:docId w15:val="{4360BD06-6A34-480A-8436-881DEF3E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B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BodyText"/>
    <w:link w:val="Heading5Char"/>
    <w:qFormat/>
    <w:rsid w:val="006565BA"/>
    <w:pPr>
      <w:tabs>
        <w:tab w:val="num" w:pos="66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565BA"/>
    <w:pPr>
      <w:keepNext/>
      <w:tabs>
        <w:tab w:val="num" w:pos="66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6565BA"/>
    <w:pPr>
      <w:keepNext/>
      <w:tabs>
        <w:tab w:val="num" w:pos="66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6565BA"/>
    <w:pPr>
      <w:keepNext/>
      <w:tabs>
        <w:tab w:val="num" w:pos="66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6565BA"/>
    <w:pPr>
      <w:tabs>
        <w:tab w:val="num" w:pos="66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6565BA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6565BA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6565BA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565BA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565BA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6565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6565B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56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5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D61C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C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D61C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C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585EA-C743-4CD1-9EA5-C3D4FFD0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5</cp:revision>
  <cp:lastPrinted>2025-05-19T08:54:00Z</cp:lastPrinted>
  <dcterms:created xsi:type="dcterms:W3CDTF">2025-05-12T06:18:00Z</dcterms:created>
  <dcterms:modified xsi:type="dcterms:W3CDTF">2025-05-19T08:54:00Z</dcterms:modified>
</cp:coreProperties>
</file>